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3CD48777" w:rsidR="003730B4" w:rsidRPr="005B5617" w:rsidRDefault="00E8300E" w:rsidP="003730B4">
      <w:pPr>
        <w:pStyle w:val="Sinespaciado"/>
        <w:jc w:val="both"/>
        <w:rPr>
          <w:rFonts w:ascii="Arial" w:hAnsi="Arial" w:cs="Arial"/>
          <w:b/>
        </w:rPr>
      </w:pPr>
      <w:r w:rsidRPr="005B5617">
        <w:rPr>
          <w:rFonts w:ascii="Arial" w:hAnsi="Arial" w:cs="Arial"/>
          <w:b/>
          <w:bCs/>
        </w:rPr>
        <w:t xml:space="preserve">TEXTO DEFINITIVO APROBADO EN PRIMER DEBATE </w:t>
      </w:r>
      <w:r w:rsidR="00DB4F94">
        <w:rPr>
          <w:rFonts w:ascii="Arial" w:hAnsi="Arial" w:cs="Arial"/>
          <w:b/>
          <w:bCs/>
        </w:rPr>
        <w:t>DEL</w:t>
      </w:r>
      <w:bookmarkStart w:id="0" w:name="_GoBack"/>
      <w:bookmarkEnd w:id="0"/>
      <w:r w:rsidRPr="005B5617">
        <w:rPr>
          <w:rFonts w:ascii="Arial" w:hAnsi="Arial" w:cs="Arial"/>
          <w:b/>
        </w:rPr>
        <w:t xml:space="preserve"> </w:t>
      </w:r>
      <w:r w:rsidR="003730B4" w:rsidRPr="005B5617">
        <w:rPr>
          <w:rFonts w:ascii="Arial" w:hAnsi="Arial" w:cs="Arial"/>
          <w:b/>
        </w:rPr>
        <w:t xml:space="preserve">PROYECTO DE LEY </w:t>
      </w:r>
      <w:r w:rsidR="005B5617" w:rsidRPr="005B5617">
        <w:rPr>
          <w:rFonts w:ascii="Arial" w:hAnsi="Arial" w:cs="Arial"/>
          <w:b/>
          <w:bCs/>
        </w:rPr>
        <w:t>No. 337</w:t>
      </w:r>
      <w:r w:rsidR="005B5617" w:rsidRPr="005B5617">
        <w:rPr>
          <w:rStyle w:val="Textoennegrita"/>
          <w:rFonts w:ascii="Arial" w:hAnsi="Arial" w:cs="Arial"/>
          <w:b w:val="0"/>
          <w:bCs w:val="0"/>
        </w:rPr>
        <w:t xml:space="preserve"> </w:t>
      </w:r>
      <w:r w:rsidR="005B5617" w:rsidRPr="005B5617">
        <w:rPr>
          <w:rStyle w:val="Textoennegrita"/>
          <w:rFonts w:ascii="Arial" w:hAnsi="Arial" w:cs="Arial"/>
          <w:bCs w:val="0"/>
        </w:rPr>
        <w:t>DE 2021 CÁMARA</w:t>
      </w:r>
      <w:r w:rsidR="005B5617" w:rsidRPr="005B5617">
        <w:rPr>
          <w:rStyle w:val="Textoennegrita"/>
          <w:rFonts w:ascii="Arial" w:hAnsi="Arial" w:cs="Arial"/>
          <w:b w:val="0"/>
          <w:bCs w:val="0"/>
        </w:rPr>
        <w:t xml:space="preserve"> </w:t>
      </w:r>
      <w:r w:rsidR="005B5617" w:rsidRPr="005B5617">
        <w:rPr>
          <w:rFonts w:ascii="Arial" w:hAnsi="Arial" w:cs="Arial"/>
          <w:b/>
          <w:bCs/>
        </w:rPr>
        <w:t>“POR MEDIO DEL CUAL SE DICTAN NORMAS ORIENTADAS A FORTALECER LAS GARANTÍAS DE ATENCIÓN EN SALUD EN EL SISTEMA GENERAL DE SEGURIDAD SOCIAL INTEGRAL”.</w:t>
      </w:r>
      <w:r w:rsidR="005B5617" w:rsidRPr="005B5617">
        <w:rPr>
          <w:rFonts w:ascii="Arial" w:hAnsi="Arial" w:cs="Arial"/>
          <w:b/>
        </w:rPr>
        <w:t xml:space="preserve"> </w:t>
      </w:r>
      <w:r w:rsidR="002254D9" w:rsidRPr="005B5617">
        <w:rPr>
          <w:rFonts w:ascii="Arial" w:hAnsi="Arial" w:cs="Arial"/>
          <w:b/>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4F4F90AA"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81758C">
        <w:rPr>
          <w:rFonts w:ascii="Arial" w:hAnsi="Arial" w:cs="Arial"/>
          <w:sz w:val="23"/>
          <w:szCs w:val="23"/>
        </w:rPr>
        <w:t>27</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970E02" w:rsidRPr="00970E02">
        <w:rPr>
          <w:rFonts w:ascii="Arial" w:hAnsi="Arial" w:cs="Arial"/>
          <w:sz w:val="23"/>
          <w:szCs w:val="23"/>
        </w:rPr>
        <w:t>abril</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81758C">
        <w:rPr>
          <w:rFonts w:ascii="Arial" w:hAnsi="Arial" w:cs="Arial"/>
          <w:sz w:val="23"/>
          <w:szCs w:val="23"/>
        </w:rPr>
        <w:t>41</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42EB1A75" w14:textId="438F4696" w:rsidR="004542CF" w:rsidRPr="004542CF" w:rsidRDefault="004542CF" w:rsidP="004542CF">
      <w:pPr>
        <w:pStyle w:val="Sinespaciado"/>
        <w:jc w:val="both"/>
        <w:rPr>
          <w:rFonts w:ascii="Arial" w:hAnsi="Arial" w:cs="Arial"/>
        </w:rPr>
      </w:pPr>
    </w:p>
    <w:p w14:paraId="3A336098" w14:textId="77777777" w:rsidR="005B5617" w:rsidRPr="00A81000" w:rsidRDefault="005B5617" w:rsidP="005B5617">
      <w:pPr>
        <w:widowControl w:val="0"/>
        <w:spacing w:after="0" w:line="240" w:lineRule="auto"/>
        <w:jc w:val="both"/>
        <w:rPr>
          <w:rFonts w:ascii="Arial" w:eastAsia="Arial" w:hAnsi="Arial" w:cs="Arial"/>
        </w:rPr>
      </w:pPr>
      <w:r w:rsidRPr="00A81000">
        <w:rPr>
          <w:rFonts w:ascii="Arial" w:eastAsia="Arial" w:hAnsi="Arial" w:cs="Arial"/>
          <w:b/>
        </w:rPr>
        <w:t xml:space="preserve">ARTÍCULO PRIMERO. </w:t>
      </w:r>
      <w:r w:rsidRPr="00A81000">
        <w:rPr>
          <w:rFonts w:ascii="Arial" w:eastAsia="Arial" w:hAnsi="Arial" w:cs="Arial"/>
        </w:rPr>
        <w:t>esta ley tiene por</w:t>
      </w:r>
      <w:r w:rsidRPr="00A81000">
        <w:rPr>
          <w:rFonts w:ascii="Arial" w:eastAsia="Arial" w:hAnsi="Arial" w:cs="Arial"/>
          <w:b/>
        </w:rPr>
        <w:t xml:space="preserve"> </w:t>
      </w:r>
      <w:r w:rsidRPr="00A81000">
        <w:rPr>
          <w:rFonts w:ascii="Arial" w:eastAsia="Arial" w:hAnsi="Arial" w:cs="Arial"/>
        </w:rPr>
        <w:t>objeto establecer una garantía expresa para que las personas que hayan cursado su derecho a la pensión y se encuentren en el periodo comprendido entre la solicitud del reconocimiento de su pensión de vejez y el pago efectivo de las mesadas pensionales reciban atención en salud de forma continua, oportuna y efectiva.</w:t>
      </w:r>
    </w:p>
    <w:p w14:paraId="600D7F42" w14:textId="77777777" w:rsidR="005B5617" w:rsidRPr="00A81000" w:rsidRDefault="005B5617" w:rsidP="005B5617">
      <w:pPr>
        <w:widowControl w:val="0"/>
        <w:spacing w:after="0" w:line="240" w:lineRule="auto"/>
        <w:jc w:val="both"/>
        <w:rPr>
          <w:rFonts w:ascii="Arial" w:eastAsia="Arial" w:hAnsi="Arial" w:cs="Arial"/>
        </w:rPr>
      </w:pPr>
    </w:p>
    <w:p w14:paraId="00D7F13B" w14:textId="77777777" w:rsidR="005B5617" w:rsidRPr="00A81000" w:rsidRDefault="005B5617" w:rsidP="005B5617">
      <w:pPr>
        <w:widowControl w:val="0"/>
        <w:spacing w:after="0" w:line="240" w:lineRule="auto"/>
        <w:jc w:val="both"/>
        <w:rPr>
          <w:rFonts w:ascii="Arial" w:eastAsia="Arial" w:hAnsi="Arial" w:cs="Arial"/>
        </w:rPr>
      </w:pPr>
      <w:r w:rsidRPr="00A81000">
        <w:rPr>
          <w:rFonts w:ascii="Arial" w:eastAsia="Arial" w:hAnsi="Arial" w:cs="Arial"/>
          <w:b/>
        </w:rPr>
        <w:t xml:space="preserve">ARTÍCULO SEGUNDO. </w:t>
      </w:r>
      <w:r w:rsidRPr="00A81000">
        <w:rPr>
          <w:rFonts w:ascii="Arial" w:eastAsia="Arial" w:hAnsi="Arial" w:cs="Arial"/>
        </w:rPr>
        <w:t xml:space="preserve">Adiciónese un parágrafo al artículo 159 de la ley 100 de 1993, el cual quedará así: </w:t>
      </w:r>
    </w:p>
    <w:p w14:paraId="774E0746" w14:textId="77777777" w:rsidR="005B5617" w:rsidRPr="00A81000" w:rsidRDefault="005B5617" w:rsidP="005B5617">
      <w:pPr>
        <w:widowControl w:val="0"/>
        <w:spacing w:after="0" w:line="240" w:lineRule="auto"/>
        <w:jc w:val="both"/>
        <w:rPr>
          <w:rFonts w:ascii="Arial" w:eastAsia="Arial" w:hAnsi="Arial" w:cs="Arial"/>
        </w:rPr>
      </w:pPr>
    </w:p>
    <w:p w14:paraId="0779F408" w14:textId="77777777" w:rsidR="005B5617" w:rsidRPr="00A81000" w:rsidRDefault="005B5617" w:rsidP="005B5617">
      <w:pPr>
        <w:widowControl w:val="0"/>
        <w:spacing w:after="0" w:line="240" w:lineRule="auto"/>
        <w:jc w:val="both"/>
        <w:rPr>
          <w:rFonts w:ascii="Arial" w:eastAsia="Arial" w:hAnsi="Arial" w:cs="Arial"/>
        </w:rPr>
      </w:pPr>
      <w:r w:rsidRPr="00A81000">
        <w:rPr>
          <w:rFonts w:ascii="Arial" w:eastAsia="Arial" w:hAnsi="Arial" w:cs="Arial"/>
          <w:b/>
        </w:rPr>
        <w:t xml:space="preserve">PARÁGRAFO. </w:t>
      </w:r>
      <w:r w:rsidRPr="00A81000">
        <w:rPr>
          <w:rFonts w:ascii="Arial" w:eastAsia="Arial" w:hAnsi="Arial" w:cs="Arial"/>
        </w:rPr>
        <w:t>Durante el periodo comprendido entre la solicitud del reconocimiento de la pensión de vejez y el pago efectivo de las mesadas pensionales, se les garantizará a quienes hayan causado su derecho de pensión y a sus beneficiarios el aseguramiento y la atención en sus servicios de salud de forma continua oportuna y efectiva. Para tal efecto, las entidades promotoras y prestadoras del servicio de salud darán cumplimiento a sus obligaciones, no podrán negarse a prestar los servicios de salud de forma continua, oportuna y efectiva durante ese periodo.</w:t>
      </w:r>
    </w:p>
    <w:p w14:paraId="6C938FA0" w14:textId="77777777" w:rsidR="005B5617" w:rsidRPr="00A81000" w:rsidRDefault="005B5617" w:rsidP="005B5617">
      <w:pPr>
        <w:widowControl w:val="0"/>
        <w:spacing w:after="0" w:line="240" w:lineRule="auto"/>
        <w:jc w:val="both"/>
        <w:rPr>
          <w:rFonts w:ascii="Arial" w:eastAsia="Arial" w:hAnsi="Arial" w:cs="Arial"/>
        </w:rPr>
      </w:pPr>
    </w:p>
    <w:p w14:paraId="73F9DA38" w14:textId="2C183C01" w:rsidR="005B5617" w:rsidRPr="00A81000" w:rsidRDefault="005B5617" w:rsidP="005B5617">
      <w:pPr>
        <w:widowControl w:val="0"/>
        <w:spacing w:after="0" w:line="240" w:lineRule="auto"/>
        <w:jc w:val="both"/>
        <w:rPr>
          <w:rFonts w:ascii="Arial" w:eastAsia="Arial" w:hAnsi="Arial" w:cs="Arial"/>
        </w:rPr>
      </w:pPr>
      <w:r w:rsidRPr="00A81000">
        <w:rPr>
          <w:rFonts w:ascii="Arial" w:eastAsia="Arial" w:hAnsi="Arial" w:cs="Arial"/>
          <w:b/>
        </w:rPr>
        <w:t xml:space="preserve">ARTÍCULO TERCERO. </w:t>
      </w:r>
      <w:r w:rsidRPr="00A81000">
        <w:rPr>
          <w:rFonts w:ascii="Arial" w:eastAsia="Arial" w:hAnsi="Arial" w:cs="Arial"/>
        </w:rPr>
        <w:t xml:space="preserve">El Gobierno Nacional expedirá </w:t>
      </w:r>
      <w:r w:rsidR="00247D6E">
        <w:rPr>
          <w:rFonts w:ascii="Arial" w:eastAsia="Arial" w:hAnsi="Arial" w:cs="Arial"/>
        </w:rPr>
        <w:t xml:space="preserve">en un término no superior a 6 meses </w:t>
      </w:r>
      <w:r w:rsidRPr="00A81000">
        <w:rPr>
          <w:rFonts w:ascii="Arial" w:eastAsia="Arial" w:hAnsi="Arial" w:cs="Arial"/>
        </w:rPr>
        <w:t>las disposiciones necesarias para dar cumplimiento a la garantía establecida en el artículo anterior.</w:t>
      </w:r>
    </w:p>
    <w:p w14:paraId="5335822A" w14:textId="77777777" w:rsidR="005B5617" w:rsidRPr="00A81000" w:rsidRDefault="005B5617" w:rsidP="005B5617">
      <w:pPr>
        <w:widowControl w:val="0"/>
        <w:spacing w:after="0" w:line="240" w:lineRule="auto"/>
        <w:jc w:val="both"/>
        <w:rPr>
          <w:rFonts w:ascii="Arial" w:eastAsia="Arial" w:hAnsi="Arial" w:cs="Arial"/>
        </w:rPr>
      </w:pPr>
    </w:p>
    <w:p w14:paraId="5062E1FB" w14:textId="46CF6DC8" w:rsidR="004542CF" w:rsidRPr="004542CF" w:rsidRDefault="005B5617" w:rsidP="005B5617">
      <w:pPr>
        <w:pStyle w:val="Sinespaciado"/>
        <w:jc w:val="both"/>
        <w:rPr>
          <w:rFonts w:ascii="Arial" w:hAnsi="Arial" w:cs="Arial"/>
          <w:b/>
          <w:color w:val="000000"/>
        </w:rPr>
      </w:pPr>
      <w:r w:rsidRPr="00A81000">
        <w:rPr>
          <w:rFonts w:ascii="Arial" w:eastAsia="Arial" w:hAnsi="Arial" w:cs="Arial"/>
          <w:b/>
        </w:rPr>
        <w:t xml:space="preserve">ARTÍCULO CUARTO. </w:t>
      </w:r>
      <w:r w:rsidRPr="00A81000">
        <w:rPr>
          <w:rFonts w:ascii="Arial" w:eastAsia="Arial" w:hAnsi="Arial" w:cs="Arial"/>
        </w:rPr>
        <w:t>Esta ley rige a partir de su promulgación y deroga todas las disposiciones que le sean contrarias.</w:t>
      </w:r>
    </w:p>
    <w:p w14:paraId="7C84451A" w14:textId="77777777" w:rsidR="004542CF" w:rsidRPr="004542CF" w:rsidRDefault="004542CF" w:rsidP="004542CF">
      <w:pPr>
        <w:pStyle w:val="Sinespaciado"/>
        <w:jc w:val="both"/>
        <w:rPr>
          <w:rFonts w:ascii="Arial" w:hAnsi="Arial" w:cs="Arial"/>
          <w:b/>
          <w:color w:val="000000"/>
        </w:rPr>
      </w:pPr>
    </w:p>
    <w:p w14:paraId="795BFE5D" w14:textId="38C2C9CE" w:rsidR="004542CF" w:rsidRDefault="004542CF" w:rsidP="004542CF">
      <w:pPr>
        <w:pStyle w:val="Sinespaciado"/>
        <w:jc w:val="both"/>
        <w:rPr>
          <w:rFonts w:ascii="Arial" w:hAnsi="Arial" w:cs="Arial"/>
          <w:color w:val="000000"/>
        </w:rPr>
      </w:pPr>
    </w:p>
    <w:p w14:paraId="23C4BCB4" w14:textId="77777777" w:rsidR="00247D6E" w:rsidRPr="004542CF" w:rsidRDefault="00247D6E" w:rsidP="004542CF">
      <w:pPr>
        <w:pStyle w:val="Sinespaciado"/>
        <w:jc w:val="both"/>
        <w:rPr>
          <w:rFonts w:ascii="Arial" w:hAnsi="Arial" w:cs="Arial"/>
          <w:color w:val="000000"/>
        </w:rPr>
      </w:pPr>
    </w:p>
    <w:p w14:paraId="50C0B561" w14:textId="77777777" w:rsidR="004542CF" w:rsidRPr="004542CF" w:rsidRDefault="004542CF" w:rsidP="004542CF">
      <w:pPr>
        <w:pStyle w:val="Sinespaciado"/>
        <w:jc w:val="both"/>
        <w:rPr>
          <w:rFonts w:ascii="Arial" w:hAnsi="Arial" w:cs="Arial"/>
          <w:color w:val="000000"/>
        </w:rPr>
      </w:pPr>
    </w:p>
    <w:p w14:paraId="0BFB2787" w14:textId="77777777" w:rsidR="004542CF" w:rsidRPr="004542CF" w:rsidRDefault="004542CF" w:rsidP="004542CF">
      <w:pPr>
        <w:pStyle w:val="Sinespaciado"/>
        <w:jc w:val="both"/>
        <w:rPr>
          <w:rFonts w:ascii="Arial" w:hAnsi="Arial" w:cs="Arial"/>
          <w:color w:val="000000"/>
        </w:rPr>
      </w:pPr>
    </w:p>
    <w:p w14:paraId="5180FCDE" w14:textId="09C80212" w:rsidR="004542CF" w:rsidRPr="00506BC5" w:rsidRDefault="005B5617" w:rsidP="005B5617">
      <w:pPr>
        <w:pStyle w:val="Sinespaciado"/>
        <w:rPr>
          <w:rFonts w:ascii="Arial" w:hAnsi="Arial" w:cs="Arial"/>
          <w:b/>
          <w:bCs/>
        </w:rPr>
      </w:pPr>
      <w:r>
        <w:rPr>
          <w:rFonts w:ascii="Arial" w:hAnsi="Arial" w:cs="Arial"/>
          <w:b/>
        </w:rPr>
        <w:t>JAIRO REINALDO CALA SUREZ</w:t>
      </w:r>
      <w:r>
        <w:rPr>
          <w:rFonts w:ascii="Arial" w:hAnsi="Arial" w:cs="Arial"/>
          <w:b/>
        </w:rPr>
        <w:tab/>
      </w:r>
      <w:r>
        <w:rPr>
          <w:rFonts w:ascii="Arial" w:hAnsi="Arial" w:cs="Arial"/>
          <w:b/>
        </w:rPr>
        <w:tab/>
      </w:r>
      <w:r>
        <w:rPr>
          <w:rFonts w:ascii="Arial" w:hAnsi="Arial" w:cs="Arial"/>
          <w:b/>
        </w:rPr>
        <w:tab/>
      </w:r>
      <w:r>
        <w:rPr>
          <w:rFonts w:ascii="Arial" w:hAnsi="Arial" w:cs="Arial"/>
          <w:b/>
        </w:rPr>
        <w:tab/>
      </w:r>
      <w:r w:rsidR="004542CF" w:rsidRPr="004542CF">
        <w:rPr>
          <w:rFonts w:ascii="Arial" w:hAnsi="Arial" w:cs="Arial"/>
          <w:b/>
        </w:rPr>
        <w:t>FABIÁN DÍAZ PLATA</w:t>
      </w:r>
      <w:r w:rsidR="004542CF">
        <w:rPr>
          <w:rFonts w:ascii="Arial" w:hAnsi="Arial" w:cs="Arial"/>
        </w:rPr>
        <w:tab/>
      </w:r>
      <w:r w:rsidR="004542CF" w:rsidRPr="00506BC5">
        <w:rPr>
          <w:rFonts w:ascii="Arial" w:hAnsi="Arial" w:cs="Arial"/>
          <w:b/>
          <w:bCs/>
        </w:rPr>
        <w:t xml:space="preserve"> </w:t>
      </w:r>
    </w:p>
    <w:p w14:paraId="4739AB8C" w14:textId="5904173F" w:rsidR="004542CF" w:rsidRPr="004542CF" w:rsidRDefault="004542CF" w:rsidP="004542CF">
      <w:pPr>
        <w:pStyle w:val="Sinespaciado"/>
        <w:jc w:val="both"/>
        <w:rPr>
          <w:rFonts w:ascii="Arial" w:hAnsi="Arial" w:cs="Arial"/>
        </w:rPr>
      </w:pPr>
      <w:r w:rsidRPr="00506BC5">
        <w:rPr>
          <w:rFonts w:ascii="Arial" w:hAnsi="Arial" w:cs="Arial"/>
        </w:rPr>
        <w:t>Representante a la Cámara</w:t>
      </w:r>
      <w:r>
        <w:rPr>
          <w:rFonts w:ascii="Arial" w:hAnsi="Arial" w:cs="Arial"/>
        </w:rPr>
        <w:t xml:space="preserve">                                     </w:t>
      </w:r>
      <w:r w:rsidR="005B5617">
        <w:rPr>
          <w:rFonts w:ascii="Arial" w:hAnsi="Arial" w:cs="Arial"/>
        </w:rPr>
        <w:tab/>
      </w:r>
      <w:r w:rsidRPr="004542CF">
        <w:rPr>
          <w:rFonts w:ascii="Arial" w:hAnsi="Arial" w:cs="Arial"/>
        </w:rPr>
        <w:t>Representante a la cámara</w:t>
      </w:r>
    </w:p>
    <w:p w14:paraId="1473C547" w14:textId="77777777" w:rsidR="007A2464" w:rsidRPr="007A2464" w:rsidRDefault="007A2464" w:rsidP="007A2464">
      <w:pPr>
        <w:pStyle w:val="Sinespaciado"/>
        <w:jc w:val="both"/>
        <w:rPr>
          <w:rFonts w:ascii="Arial" w:hAnsi="Arial" w:cs="Arial"/>
          <w:b/>
          <w:lang w:eastAsia="es-ES"/>
        </w:rPr>
      </w:pPr>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6AF85903" w14:textId="3CF13ADD" w:rsidR="00506BC5" w:rsidRPr="00506BC5" w:rsidRDefault="00506BC5" w:rsidP="00506BC5">
      <w:pPr>
        <w:pStyle w:val="Sinespaciado"/>
        <w:rPr>
          <w:rFonts w:ascii="Arial" w:hAnsi="Arial" w:cs="Arial"/>
        </w:rPr>
      </w:pPr>
      <w:r w:rsidRPr="00506BC5">
        <w:rPr>
          <w:rFonts w:ascii="Arial" w:hAnsi="Arial" w:cs="Arial"/>
        </w:rPr>
        <w:t xml:space="preserve"> </w:t>
      </w:r>
    </w:p>
    <w:p w14:paraId="66331814" w14:textId="77777777" w:rsidR="00506BC5" w:rsidRDefault="00506BC5" w:rsidP="003730B4">
      <w:pPr>
        <w:pStyle w:val="Sinespaciado"/>
        <w:jc w:val="both"/>
        <w:rPr>
          <w:rFonts w:ascii="Arial" w:hAnsi="Arial" w:cs="Arial"/>
          <w:lang w:eastAsia="es-ES"/>
        </w:rPr>
        <w:sectPr w:rsidR="00506BC5" w:rsidSect="00506BC5">
          <w:type w:val="continuous"/>
          <w:pgSz w:w="12240" w:h="15840" w:code="1"/>
          <w:pgMar w:top="1531" w:right="1134" w:bottom="567" w:left="1588" w:header="510" w:footer="397" w:gutter="0"/>
          <w:cols w:num="2" w:space="708"/>
          <w:docGrid w:linePitch="360"/>
        </w:sectPr>
      </w:pP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0FF21" w14:textId="77777777" w:rsidR="00046F1E" w:rsidRDefault="00046F1E" w:rsidP="001A75AA">
      <w:pPr>
        <w:spacing w:after="0" w:line="240" w:lineRule="auto"/>
      </w:pPr>
      <w:r>
        <w:separator/>
      </w:r>
    </w:p>
  </w:endnote>
  <w:endnote w:type="continuationSeparator" w:id="0">
    <w:p w14:paraId="36F3D24F" w14:textId="77777777" w:rsidR="00046F1E" w:rsidRDefault="00046F1E"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3392" w14:textId="77777777" w:rsidR="00046F1E" w:rsidRDefault="00046F1E" w:rsidP="001A75AA">
      <w:pPr>
        <w:spacing w:after="0" w:line="240" w:lineRule="auto"/>
      </w:pPr>
      <w:r>
        <w:separator/>
      </w:r>
    </w:p>
  </w:footnote>
  <w:footnote w:type="continuationSeparator" w:id="0">
    <w:p w14:paraId="600C5812" w14:textId="77777777" w:rsidR="00046F1E" w:rsidRDefault="00046F1E"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6F3532"/>
    <w:multiLevelType w:val="hybridMultilevel"/>
    <w:tmpl w:val="09D459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8E377E"/>
    <w:multiLevelType w:val="multilevel"/>
    <w:tmpl w:val="4888FF4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5"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42"/>
  </w:num>
  <w:num w:numId="3">
    <w:abstractNumId w:val="5"/>
  </w:num>
  <w:num w:numId="4">
    <w:abstractNumId w:val="22"/>
  </w:num>
  <w:num w:numId="5">
    <w:abstractNumId w:val="1"/>
  </w:num>
  <w:num w:numId="6">
    <w:abstractNumId w:val="28"/>
  </w:num>
  <w:num w:numId="7">
    <w:abstractNumId w:val="49"/>
  </w:num>
  <w:num w:numId="8">
    <w:abstractNumId w:val="8"/>
  </w:num>
  <w:num w:numId="9">
    <w:abstractNumId w:val="7"/>
  </w:num>
  <w:num w:numId="10">
    <w:abstractNumId w:val="37"/>
  </w:num>
  <w:num w:numId="11">
    <w:abstractNumId w:val="46"/>
  </w:num>
  <w:num w:numId="12">
    <w:abstractNumId w:val="19"/>
  </w:num>
  <w:num w:numId="13">
    <w:abstractNumId w:val="11"/>
  </w:num>
  <w:num w:numId="14">
    <w:abstractNumId w:val="23"/>
  </w:num>
  <w:num w:numId="15">
    <w:abstractNumId w:val="18"/>
  </w:num>
  <w:num w:numId="16">
    <w:abstractNumId w:val="45"/>
  </w:num>
  <w:num w:numId="17">
    <w:abstractNumId w:val="33"/>
  </w:num>
  <w:num w:numId="18">
    <w:abstractNumId w:val="29"/>
  </w:num>
  <w:num w:numId="19">
    <w:abstractNumId w:val="35"/>
  </w:num>
  <w:num w:numId="20">
    <w:abstractNumId w:val="47"/>
  </w:num>
  <w:num w:numId="21">
    <w:abstractNumId w:val="3"/>
  </w:num>
  <w:num w:numId="22">
    <w:abstractNumId w:val="20"/>
  </w:num>
  <w:num w:numId="23">
    <w:abstractNumId w:val="9"/>
  </w:num>
  <w:num w:numId="24">
    <w:abstractNumId w:val="43"/>
  </w:num>
  <w:num w:numId="25">
    <w:abstractNumId w:val="21"/>
  </w:num>
  <w:num w:numId="26">
    <w:abstractNumId w:val="4"/>
  </w:num>
  <w:num w:numId="27">
    <w:abstractNumId w:val="2"/>
  </w:num>
  <w:num w:numId="28">
    <w:abstractNumId w:val="39"/>
  </w:num>
  <w:num w:numId="29">
    <w:abstractNumId w:val="14"/>
  </w:num>
  <w:num w:numId="30">
    <w:abstractNumId w:val="27"/>
  </w:num>
  <w:num w:numId="31">
    <w:abstractNumId w:val="16"/>
  </w:num>
  <w:num w:numId="32">
    <w:abstractNumId w:val="41"/>
  </w:num>
  <w:num w:numId="33">
    <w:abstractNumId w:val="34"/>
  </w:num>
  <w:num w:numId="34">
    <w:abstractNumId w:val="40"/>
  </w:num>
  <w:num w:numId="35">
    <w:abstractNumId w:val="48"/>
  </w:num>
  <w:num w:numId="36">
    <w:abstractNumId w:val="44"/>
  </w:num>
  <w:num w:numId="37">
    <w:abstractNumId w:val="38"/>
  </w:num>
  <w:num w:numId="38">
    <w:abstractNumId w:val="15"/>
  </w:num>
  <w:num w:numId="39">
    <w:abstractNumId w:val="26"/>
  </w:num>
  <w:num w:numId="40">
    <w:abstractNumId w:val="32"/>
  </w:num>
  <w:num w:numId="41">
    <w:abstractNumId w:val="12"/>
  </w:num>
  <w:num w:numId="42">
    <w:abstractNumId w:val="30"/>
  </w:num>
  <w:num w:numId="43">
    <w:abstractNumId w:val="6"/>
  </w:num>
  <w:num w:numId="44">
    <w:abstractNumId w:val="0"/>
  </w:num>
  <w:num w:numId="45">
    <w:abstractNumId w:val="36"/>
  </w:num>
  <w:num w:numId="46">
    <w:abstractNumId w:val="17"/>
  </w:num>
  <w:num w:numId="47">
    <w:abstractNumId w:val="25"/>
  </w:num>
  <w:num w:numId="48">
    <w:abstractNumId w:val="24"/>
  </w:num>
  <w:num w:numId="49">
    <w:abstractNumId w:val="13"/>
  </w:num>
  <w:num w:numId="5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6F1E"/>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47D6E"/>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93F"/>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85D04"/>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542CF"/>
    <w:rsid w:val="00460A7A"/>
    <w:rsid w:val="00461494"/>
    <w:rsid w:val="00461A25"/>
    <w:rsid w:val="00465610"/>
    <w:rsid w:val="00465953"/>
    <w:rsid w:val="004704C6"/>
    <w:rsid w:val="00470B1E"/>
    <w:rsid w:val="00472064"/>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617"/>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D5C9F"/>
    <w:rsid w:val="007E024C"/>
    <w:rsid w:val="007E0D32"/>
    <w:rsid w:val="007E2AD8"/>
    <w:rsid w:val="007F0C2F"/>
    <w:rsid w:val="007F223F"/>
    <w:rsid w:val="007F2A05"/>
    <w:rsid w:val="0080478F"/>
    <w:rsid w:val="008054C2"/>
    <w:rsid w:val="00805DC3"/>
    <w:rsid w:val="00807628"/>
    <w:rsid w:val="00813DA1"/>
    <w:rsid w:val="0081758C"/>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313D"/>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4F94"/>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styleId="Nmerodepgina">
    <w:name w:val="page number"/>
    <w:basedOn w:val="Fuentedeprrafopredeter"/>
    <w:uiPriority w:val="99"/>
    <w:semiHidden/>
    <w:unhideWhenUsed/>
    <w:rsid w:val="0045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F9C9-84C8-458A-B683-A4D0CE51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2022-04-27T22:30:00Z</cp:lastPrinted>
  <dcterms:created xsi:type="dcterms:W3CDTF">2022-04-28T15:57:00Z</dcterms:created>
  <dcterms:modified xsi:type="dcterms:W3CDTF">2022-05-04T21:42:00Z</dcterms:modified>
</cp:coreProperties>
</file>